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BFC9" w14:textId="18F54B8D" w:rsidR="00B41F4D" w:rsidRPr="007E539B" w:rsidRDefault="00717FDB" w:rsidP="00B41F4D">
      <w:pPr>
        <w:rPr>
          <w:sz w:val="24"/>
          <w:szCs w:val="24"/>
        </w:rPr>
      </w:pPr>
      <w:r w:rsidRPr="007E539B">
        <w:rPr>
          <w:sz w:val="24"/>
          <w:szCs w:val="24"/>
        </w:rPr>
        <w:t xml:space="preserve">Cllr </w:t>
      </w:r>
      <w:r w:rsidR="00A82DCF" w:rsidRPr="007E539B">
        <w:rPr>
          <w:sz w:val="24"/>
          <w:szCs w:val="24"/>
        </w:rPr>
        <w:t>Jessica Fleming</w:t>
      </w:r>
      <w:r w:rsidR="00687A0D" w:rsidRPr="007E539B">
        <w:rPr>
          <w:sz w:val="24"/>
          <w:szCs w:val="24"/>
        </w:rPr>
        <w:t>, Hartismere Division, Suffolk</w:t>
      </w:r>
      <w:r w:rsidR="00C85849" w:rsidRPr="007E539B">
        <w:rPr>
          <w:sz w:val="24"/>
          <w:szCs w:val="24"/>
        </w:rPr>
        <w:t xml:space="preserve">  </w:t>
      </w:r>
    </w:p>
    <w:p w14:paraId="0820489B" w14:textId="77777777" w:rsidR="001C563C" w:rsidRPr="007E539B" w:rsidRDefault="00D41E34" w:rsidP="00B85E2C">
      <w:pPr>
        <w:rPr>
          <w:sz w:val="24"/>
          <w:szCs w:val="24"/>
        </w:rPr>
      </w:pPr>
      <w:hyperlink r:id="rId8" w:history="1">
        <w:r w:rsidR="00EA048C" w:rsidRPr="007E539B">
          <w:rPr>
            <w:rStyle w:val="Hyperlink"/>
            <w:sz w:val="24"/>
            <w:szCs w:val="24"/>
          </w:rPr>
          <w:t>Jessica.fleming@suffolk.gov.uk</w:t>
        </w:r>
      </w:hyperlink>
      <w:r w:rsidR="00DC2A0A" w:rsidRPr="007E539B">
        <w:rPr>
          <w:sz w:val="24"/>
          <w:szCs w:val="24"/>
        </w:rPr>
        <w:t xml:space="preserve">  Tel: 07714-597980</w:t>
      </w:r>
      <w:r w:rsidR="001C563C" w:rsidRPr="007E539B">
        <w:rPr>
          <w:sz w:val="24"/>
          <w:szCs w:val="24"/>
        </w:rPr>
        <w:t xml:space="preserve"> Twitter: @jesstfleming</w:t>
      </w:r>
    </w:p>
    <w:p w14:paraId="1DF34778" w14:textId="182FB59F" w:rsidR="00C748E9" w:rsidRPr="00C748E9" w:rsidRDefault="007533C9" w:rsidP="00C748E9">
      <w:r>
        <w:t>Over the past year the County Council has worked with its partners to fulfil its core responsibilities</w:t>
      </w:r>
      <w:r w:rsidR="007E539B">
        <w:t xml:space="preserve"> and deliver on our </w:t>
      </w:r>
      <w:r w:rsidR="00032F76">
        <w:t xml:space="preserve">priorities </w:t>
      </w:r>
      <w:r w:rsidR="007E539B">
        <w:t xml:space="preserve">which </w:t>
      </w:r>
      <w:r w:rsidR="00B865EE">
        <w:t>a</w:t>
      </w:r>
      <w:r>
        <w:t xml:space="preserve">re to </w:t>
      </w:r>
      <w:r w:rsidR="00C748E9" w:rsidRPr="00C748E9">
        <w:t>suppor</w:t>
      </w:r>
      <w:r>
        <w:t>t</w:t>
      </w:r>
      <w:r w:rsidR="00C748E9" w:rsidRPr="00C748E9">
        <w:t xml:space="preserve"> vulnerable residents, strengthen Suffolk’s economy, </w:t>
      </w:r>
      <w:r w:rsidR="007E539B">
        <w:t xml:space="preserve">protect and improve </w:t>
      </w:r>
      <w:r w:rsidR="00C748E9" w:rsidRPr="00C748E9">
        <w:t>the environment</w:t>
      </w:r>
      <w:r w:rsidR="00C748E9">
        <w:t>, and provid</w:t>
      </w:r>
      <w:r w:rsidR="007E539B">
        <w:t>e</w:t>
      </w:r>
      <w:r w:rsidR="00C748E9">
        <w:t xml:space="preserve"> value</w:t>
      </w:r>
      <w:r w:rsidR="00C748E9" w:rsidRPr="00C748E9">
        <w:t xml:space="preserve"> for the taxpaye</w:t>
      </w:r>
      <w:r w:rsidR="00C748E9">
        <w:t>r</w:t>
      </w:r>
      <w:r w:rsidR="00C748E9" w:rsidRPr="00C748E9">
        <w:t>.</w:t>
      </w:r>
      <w:r w:rsidR="00032F76">
        <w:t xml:space="preserve">  </w:t>
      </w:r>
      <w:r w:rsidR="008A0C38">
        <w:t xml:space="preserve">The past year has seen </w:t>
      </w:r>
      <w:r w:rsidR="00F2477B">
        <w:t xml:space="preserve">pressures on </w:t>
      </w:r>
      <w:r w:rsidR="008A0C38">
        <w:t xml:space="preserve">the council budget </w:t>
      </w:r>
      <w:r w:rsidR="00755A5F">
        <w:t xml:space="preserve">from </w:t>
      </w:r>
      <w:r w:rsidR="00DD5534">
        <w:t>inflation</w:t>
      </w:r>
      <w:r w:rsidR="00755A5F">
        <w:t>,</w:t>
      </w:r>
      <w:r w:rsidR="00DD5534">
        <w:t xml:space="preserve"> the Ukraine war</w:t>
      </w:r>
      <w:r w:rsidR="00F2477B">
        <w:t xml:space="preserve">, </w:t>
      </w:r>
      <w:r w:rsidR="00755A5F">
        <w:t>and</w:t>
      </w:r>
      <w:r w:rsidR="00F2477B">
        <w:t xml:space="preserve"> pandemic recovery</w:t>
      </w:r>
      <w:r w:rsidR="008A0C38">
        <w:t xml:space="preserve">.  </w:t>
      </w:r>
      <w:r w:rsidR="00755A5F">
        <w:t>In response c</w:t>
      </w:r>
      <w:r w:rsidR="008A0C38">
        <w:t xml:space="preserve">ouncil tax </w:t>
      </w:r>
      <w:r w:rsidR="00755A5F">
        <w:t xml:space="preserve">has been raised </w:t>
      </w:r>
      <w:r w:rsidR="008A0C38">
        <w:t>by 3.99% of which 2% is ring fenced for social care</w:t>
      </w:r>
      <w:r w:rsidR="00D41E34">
        <w:t xml:space="preserve">.  In addition, </w:t>
      </w:r>
      <w:r w:rsidR="00065F24">
        <w:t>£</w:t>
      </w:r>
      <w:r w:rsidR="0055602F">
        <w:t>4.4</w:t>
      </w:r>
      <w:r w:rsidR="00065F24">
        <w:t xml:space="preserve">m of </w:t>
      </w:r>
      <w:r w:rsidR="0055602F">
        <w:t>unallocated</w:t>
      </w:r>
      <w:r w:rsidR="00065F24">
        <w:t xml:space="preserve"> reserves has been </w:t>
      </w:r>
      <w:r w:rsidR="00D41E34">
        <w:t>used</w:t>
      </w:r>
      <w:r w:rsidR="00DD5534">
        <w:t xml:space="preserve"> to</w:t>
      </w:r>
      <w:r w:rsidR="00856114">
        <w:t xml:space="preserve"> meet the 2023/24 </w:t>
      </w:r>
      <w:r w:rsidR="00D41E34">
        <w:t xml:space="preserve">basic budget </w:t>
      </w:r>
      <w:r w:rsidR="00856114">
        <w:t>of just over £545M</w:t>
      </w:r>
      <w:r w:rsidR="00DD5534">
        <w:t xml:space="preserve">.  Overall the financial </w:t>
      </w:r>
      <w:r w:rsidR="0055602F">
        <w:t xml:space="preserve">position is </w:t>
      </w:r>
      <w:r w:rsidR="00856114">
        <w:t>sound</w:t>
      </w:r>
      <w:r w:rsidR="00DD5534">
        <w:t xml:space="preserve"> </w:t>
      </w:r>
      <w:r w:rsidR="000E267F">
        <w:t>though challenging</w:t>
      </w:r>
      <w:r w:rsidR="00395279">
        <w:t xml:space="preserve">. </w:t>
      </w:r>
    </w:p>
    <w:p w14:paraId="02698256" w14:textId="2A1628A2" w:rsidR="00032F76" w:rsidRPr="00032F76" w:rsidRDefault="000E267F" w:rsidP="00B865EE">
      <w:pPr>
        <w:spacing w:after="120"/>
      </w:pPr>
      <w:r>
        <w:t>Some key council programmes over the past year have been</w:t>
      </w:r>
      <w:r w:rsidR="00D41E34">
        <w:t xml:space="preserve"> organising</w:t>
      </w:r>
      <w:r>
        <w:t xml:space="preserve"> Homes for Ukraine, transformation of Adult and Community Services (ACS), </w:t>
      </w:r>
      <w:r w:rsidR="00D41E34">
        <w:t xml:space="preserve">increasing </w:t>
      </w:r>
      <w:r>
        <w:t>support to children with Special Educational Needs (SEND), awarding a new Highways contract, investing in decarbonisation, and managing a large increase in Nationally Significant Infrastructure Projects (NSIPs).</w:t>
      </w:r>
      <w:r w:rsidR="00EC2147">
        <w:t xml:space="preserve"> </w:t>
      </w:r>
    </w:p>
    <w:p w14:paraId="44808A91" w14:textId="26321E64" w:rsidR="009609FA" w:rsidRDefault="009609FA" w:rsidP="00B865EE">
      <w:pPr>
        <w:numPr>
          <w:ilvl w:val="0"/>
          <w:numId w:val="6"/>
        </w:numPr>
        <w:spacing w:after="120"/>
      </w:pPr>
      <w:r>
        <w:rPr>
          <w:b/>
          <w:bCs/>
        </w:rPr>
        <w:t xml:space="preserve">Communities &amp; </w:t>
      </w:r>
      <w:r w:rsidRPr="009609FA">
        <w:rPr>
          <w:b/>
          <w:bCs/>
        </w:rPr>
        <w:t>Customer Services</w:t>
      </w:r>
      <w:r>
        <w:t xml:space="preserve"> –</w:t>
      </w:r>
      <w:r w:rsidR="00595384">
        <w:t xml:space="preserve"> </w:t>
      </w:r>
      <w:r w:rsidR="008F1437">
        <w:t>The council is responsible for a</w:t>
      </w:r>
      <w:r w:rsidR="00EC2147">
        <w:t>n</w:t>
      </w:r>
      <w:r w:rsidR="008F1437">
        <w:t xml:space="preserve"> array of services including </w:t>
      </w:r>
      <w:r w:rsidR="00EC2147">
        <w:t xml:space="preserve">Registrars, Coroners, Libraries, Museums and Archives, Asylum Seekers referred by the Home Office, Community Safety, </w:t>
      </w:r>
      <w:r w:rsidR="00595384">
        <w:t xml:space="preserve">Fire &amp; Rescue Services, Trading Standards </w:t>
      </w:r>
      <w:r w:rsidR="00EC2147">
        <w:t xml:space="preserve">and others.  More information </w:t>
      </w:r>
      <w:r w:rsidR="00595384">
        <w:t xml:space="preserve">on these services and partner organisations </w:t>
      </w:r>
      <w:r w:rsidR="00EC2147">
        <w:t>can be found on</w:t>
      </w:r>
      <w:r w:rsidR="00595384" w:rsidRPr="00595384">
        <w:t xml:space="preserve"> </w:t>
      </w:r>
      <w:r w:rsidR="00595384">
        <w:t xml:space="preserve">the </w:t>
      </w:r>
      <w:r w:rsidR="00595384" w:rsidRPr="00595384">
        <w:t xml:space="preserve">web platform </w:t>
      </w:r>
      <w:hyperlink r:id="rId9" w:history="1">
        <w:r w:rsidR="00595384" w:rsidRPr="00595384">
          <w:rPr>
            <w:rStyle w:val="Hyperlink"/>
          </w:rPr>
          <w:t>www.suffolk.gov.uk</w:t>
        </w:r>
      </w:hyperlink>
      <w:r w:rsidR="00595384" w:rsidRPr="00595384">
        <w:t xml:space="preserve">  </w:t>
      </w:r>
    </w:p>
    <w:p w14:paraId="59D15CDC" w14:textId="2F218F37" w:rsidR="008F1437" w:rsidRDefault="00EC2147" w:rsidP="00B865EE">
      <w:pPr>
        <w:numPr>
          <w:ilvl w:val="0"/>
          <w:numId w:val="6"/>
        </w:numPr>
        <w:spacing w:after="120"/>
      </w:pPr>
      <w:r w:rsidRPr="00266C96">
        <w:rPr>
          <w:b/>
          <w:bCs/>
        </w:rPr>
        <w:t>Education</w:t>
      </w:r>
      <w:r w:rsidR="00B2756A">
        <w:rPr>
          <w:b/>
          <w:bCs/>
        </w:rPr>
        <w:t>, Schools</w:t>
      </w:r>
      <w:r w:rsidRPr="00266C96">
        <w:rPr>
          <w:b/>
          <w:bCs/>
        </w:rPr>
        <w:t xml:space="preserve"> &amp; Young People</w:t>
      </w:r>
      <w:r>
        <w:t xml:space="preserve"> </w:t>
      </w:r>
      <w:r w:rsidR="0055602F">
        <w:t>–</w:t>
      </w:r>
      <w:r>
        <w:t xml:space="preserve"> </w:t>
      </w:r>
      <w:r w:rsidR="0055602F">
        <w:t xml:space="preserve">to increase </w:t>
      </w:r>
      <w:r w:rsidR="00266C96">
        <w:t xml:space="preserve">local </w:t>
      </w:r>
      <w:r w:rsidR="0055602F">
        <w:t xml:space="preserve">teacher training opportunities, the council </w:t>
      </w:r>
      <w:r w:rsidR="00266C96">
        <w:t>initiated</w:t>
      </w:r>
      <w:r w:rsidR="0055602F">
        <w:t xml:space="preserve"> a joint programme with Norfolk and University of Suffolk to gain government accreditation for a new School Centred </w:t>
      </w:r>
      <w:r w:rsidR="00266C96">
        <w:t>Initial T</w:t>
      </w:r>
      <w:r w:rsidR="0055602F">
        <w:t xml:space="preserve">eacher Training programme.  </w:t>
      </w:r>
      <w:r w:rsidR="0066723B">
        <w:t xml:space="preserve">Financing of £32m has been secured to build or expand 21 schools in the County.  </w:t>
      </w:r>
      <w:r w:rsidR="00CE6F53">
        <w:t xml:space="preserve">The Council has also worked with schools to secure grants for decarbonisation such as that in progress at Botesdale Primary. </w:t>
      </w:r>
    </w:p>
    <w:p w14:paraId="331AF4EC" w14:textId="5B4102C7" w:rsidR="00266C96" w:rsidRDefault="00CE6F53" w:rsidP="00B865EE">
      <w:pPr>
        <w:numPr>
          <w:ilvl w:val="0"/>
          <w:numId w:val="6"/>
        </w:numPr>
        <w:spacing w:after="120"/>
      </w:pPr>
      <w:r w:rsidRPr="00CE6F53">
        <w:rPr>
          <w:b/>
          <w:bCs/>
        </w:rPr>
        <w:t>Supporting SEND</w:t>
      </w:r>
      <w:r>
        <w:t xml:space="preserve"> - </w:t>
      </w:r>
      <w:r w:rsidRPr="00CE6F53">
        <w:t xml:space="preserve">£45million has been allocated by Suffolk County Council to deliver new </w:t>
      </w:r>
      <w:r w:rsidR="00D41E34">
        <w:t xml:space="preserve">in-County </w:t>
      </w:r>
      <w:r w:rsidR="00045133">
        <w:t xml:space="preserve">SEND </w:t>
      </w:r>
      <w:r w:rsidRPr="00CE6F53">
        <w:t>places</w:t>
      </w:r>
      <w:r w:rsidR="00D41E34">
        <w:t>;</w:t>
      </w:r>
      <w:r w:rsidRPr="00CE6F53">
        <w:t xml:space="preserve"> </w:t>
      </w:r>
      <w:r w:rsidR="00045133" w:rsidRPr="00045133">
        <w:t xml:space="preserve">Phase 1 </w:t>
      </w:r>
      <w:r w:rsidR="00045133">
        <w:t xml:space="preserve">is in progress and </w:t>
      </w:r>
      <w:r w:rsidR="00045133" w:rsidRPr="00045133">
        <w:t>create</w:t>
      </w:r>
      <w:r w:rsidR="00045133">
        <w:t>s</w:t>
      </w:r>
      <w:r w:rsidR="00045133" w:rsidRPr="00045133">
        <w:t xml:space="preserve"> 825 new places across Suffolk and Phase 2, </w:t>
      </w:r>
      <w:r w:rsidR="00045133">
        <w:t xml:space="preserve">agreed </w:t>
      </w:r>
      <w:r w:rsidR="00045133" w:rsidRPr="00045133">
        <w:t xml:space="preserve">in June 2022, </w:t>
      </w:r>
      <w:r w:rsidR="00045133">
        <w:t>wi</w:t>
      </w:r>
      <w:r w:rsidR="00045133" w:rsidRPr="00045133">
        <w:t>ll create up to 73 new places.</w:t>
      </w:r>
      <w:r w:rsidR="00045133">
        <w:t xml:space="preserve"> </w:t>
      </w:r>
      <w:r>
        <w:t xml:space="preserve"> A third phase</w:t>
      </w:r>
      <w:r w:rsidR="00045133">
        <w:t xml:space="preserve"> agreed in March will provide 3 new specialist units.  In combination, these new facilities will greatly reduce long trips to school </w:t>
      </w:r>
      <w:r w:rsidR="00D41E34">
        <w:t>and</w:t>
      </w:r>
      <w:r w:rsidR="00045133">
        <w:t xml:space="preserve"> out of County placements.</w:t>
      </w:r>
      <w:r>
        <w:t xml:space="preserve"> </w:t>
      </w:r>
      <w:r w:rsidR="006E2036">
        <w:t>Also, the Council is bidding for funds to establish two new free schools in Sudbury and E</w:t>
      </w:r>
      <w:r w:rsidR="006E2036" w:rsidRPr="006E2036">
        <w:t>ast Suffolk</w:t>
      </w:r>
      <w:r w:rsidR="006E2036">
        <w:t>, both will s</w:t>
      </w:r>
      <w:r w:rsidR="006E2036" w:rsidRPr="006E2036">
        <w:t xml:space="preserve">upport children with severe learning difficulties and complex </w:t>
      </w:r>
      <w:r w:rsidR="006E2036">
        <w:t>needs</w:t>
      </w:r>
      <w:r w:rsidR="006E2036" w:rsidRPr="006E2036">
        <w:t xml:space="preserve"> from across Suffolk.</w:t>
      </w:r>
    </w:p>
    <w:p w14:paraId="2B46FC23" w14:textId="53503B7C" w:rsidR="00032F76" w:rsidRDefault="009609FA" w:rsidP="006E2036">
      <w:pPr>
        <w:numPr>
          <w:ilvl w:val="0"/>
          <w:numId w:val="6"/>
        </w:numPr>
        <w:spacing w:after="120"/>
      </w:pPr>
      <w:r>
        <w:rPr>
          <w:b/>
          <w:bCs/>
        </w:rPr>
        <w:t>Homes for Ukraine</w:t>
      </w:r>
      <w:r w:rsidR="00B865EE">
        <w:rPr>
          <w:b/>
          <w:bCs/>
        </w:rPr>
        <w:t xml:space="preserve"> </w:t>
      </w:r>
      <w:r w:rsidR="008F1437">
        <w:t>–</w:t>
      </w:r>
      <w:r w:rsidR="00032F76" w:rsidRPr="00032F76">
        <w:t xml:space="preserve"> </w:t>
      </w:r>
      <w:r w:rsidR="008F1437">
        <w:t xml:space="preserve">Over 1,200 people have arrived in Suffolk since this programme started, at present 741 remain with 335 host families.  Government guidance now supports people to stay with their hosts for up to 2 years.  New hosts are always needed.  </w:t>
      </w:r>
    </w:p>
    <w:p w14:paraId="4806EA79" w14:textId="03BFADF5" w:rsidR="006E2036" w:rsidRDefault="006E2036" w:rsidP="006E2036">
      <w:pPr>
        <w:numPr>
          <w:ilvl w:val="0"/>
          <w:numId w:val="6"/>
        </w:numPr>
        <w:spacing w:after="120"/>
      </w:pPr>
      <w:r>
        <w:rPr>
          <w:b/>
          <w:bCs/>
        </w:rPr>
        <w:lastRenderedPageBreak/>
        <w:t xml:space="preserve">Adult </w:t>
      </w:r>
      <w:r w:rsidR="00EA20B5">
        <w:rPr>
          <w:b/>
          <w:bCs/>
        </w:rPr>
        <w:t xml:space="preserve">&amp; Social </w:t>
      </w:r>
      <w:r>
        <w:rPr>
          <w:b/>
          <w:bCs/>
        </w:rPr>
        <w:t xml:space="preserve">Care </w:t>
      </w:r>
      <w:r w:rsidR="00EA20B5">
        <w:t>–</w:t>
      </w:r>
      <w:r>
        <w:t xml:space="preserve"> </w:t>
      </w:r>
      <w:r w:rsidR="00EA20B5">
        <w:t xml:space="preserve">The Council is working with care providers to increase recruitment and retention, and has run a successful apprenticeship scheme over the past year with 27 currently in the programme.  </w:t>
      </w:r>
      <w:r w:rsidR="00595384">
        <w:t xml:space="preserve">A recruitment drive through the Home First Reablement Service initiated in August has increased the social care workforce substantially.  </w:t>
      </w:r>
      <w:r w:rsidR="00EA20B5">
        <w:t xml:space="preserve">In December the Council along with the NHS West Suffolk Alliance piloted a digital service </w:t>
      </w:r>
      <w:r w:rsidR="00595384">
        <w:t xml:space="preserve">(Cassius) </w:t>
      </w:r>
      <w:r w:rsidR="00EA20B5">
        <w:t>to help patients and carers monitor their conditions.  This has been well received and will scale up from an initial 100 people to over 350 this summer.</w:t>
      </w:r>
    </w:p>
    <w:p w14:paraId="1A78A360" w14:textId="25B16EB5" w:rsidR="00011DC7" w:rsidRPr="00011DC7" w:rsidRDefault="006E2036" w:rsidP="00D17979">
      <w:pPr>
        <w:numPr>
          <w:ilvl w:val="0"/>
          <w:numId w:val="6"/>
        </w:numPr>
        <w:spacing w:after="120"/>
      </w:pPr>
      <w:r w:rsidRPr="00696F15">
        <w:rPr>
          <w:b/>
          <w:bCs/>
        </w:rPr>
        <w:t xml:space="preserve">Environment &amp; </w:t>
      </w:r>
      <w:r w:rsidR="00D22BF6" w:rsidRPr="00696F15">
        <w:rPr>
          <w:b/>
          <w:bCs/>
        </w:rPr>
        <w:t>Climate Change </w:t>
      </w:r>
      <w:r w:rsidR="00D22BF6" w:rsidRPr="00D22BF6">
        <w:t xml:space="preserve">- £1.5m </w:t>
      </w:r>
      <w:r w:rsidR="00595384">
        <w:t xml:space="preserve">was committed in the prior budget </w:t>
      </w:r>
      <w:r w:rsidR="00D22BF6" w:rsidRPr="00D22BF6">
        <w:t>to implement the Suffolk’s Climate Emergency Plan</w:t>
      </w:r>
      <w:r w:rsidR="00011DC7">
        <w:t xml:space="preserve">, the first carbon budget. The Council first partnered with </w:t>
      </w:r>
      <w:r w:rsidR="00011DC7" w:rsidRPr="00696F15">
        <w:rPr>
          <w:i/>
          <w:iCs/>
        </w:rPr>
        <w:t>Plug In Suffolk</w:t>
      </w:r>
      <w:r w:rsidR="00011DC7" w:rsidRPr="00011DC7">
        <w:t xml:space="preserve"> in 2019</w:t>
      </w:r>
      <w:r w:rsidR="00011DC7">
        <w:t xml:space="preserve">.  Over </w:t>
      </w:r>
      <w:r w:rsidR="00011DC7" w:rsidRPr="00011DC7">
        <w:t xml:space="preserve">100 charging points </w:t>
      </w:r>
      <w:r w:rsidR="00011DC7">
        <w:t xml:space="preserve">have been installed to date </w:t>
      </w:r>
      <w:r w:rsidR="00011DC7" w:rsidRPr="00011DC7">
        <w:t>with an emphasis on</w:t>
      </w:r>
      <w:r w:rsidR="00011DC7">
        <w:t xml:space="preserve"> </w:t>
      </w:r>
      <w:r w:rsidR="00011DC7" w:rsidRPr="00011DC7">
        <w:t>rural locations and</w:t>
      </w:r>
      <w:r w:rsidR="00011DC7">
        <w:t xml:space="preserve"> areas</w:t>
      </w:r>
      <w:r w:rsidR="00011DC7" w:rsidRPr="00011DC7">
        <w:t xml:space="preserve"> without off-street charging capabilities.</w:t>
      </w:r>
      <w:r w:rsidR="00011DC7">
        <w:t xml:space="preserve">  </w:t>
      </w:r>
      <w:r w:rsidR="00011DC7" w:rsidRPr="00011DC7">
        <w:t xml:space="preserve">The council submitted a </w:t>
      </w:r>
      <w:r w:rsidR="00517E10">
        <w:t xml:space="preserve">successful </w:t>
      </w:r>
      <w:r w:rsidR="00011DC7" w:rsidRPr="00011DC7">
        <w:t xml:space="preserve">bid of £1,362,000 </w:t>
      </w:r>
      <w:r w:rsidR="00517E10">
        <w:t xml:space="preserve">in August </w:t>
      </w:r>
      <w:r w:rsidR="00011DC7" w:rsidRPr="00011DC7">
        <w:t>to the Department for Transport</w:t>
      </w:r>
      <w:r w:rsidR="00517E10">
        <w:t xml:space="preserve"> as </w:t>
      </w:r>
      <w:r w:rsidR="00011DC7" w:rsidRPr="00011DC7">
        <w:t xml:space="preserve">part of </w:t>
      </w:r>
      <w:r w:rsidR="00517E10">
        <w:t>a</w:t>
      </w:r>
      <w:r w:rsidR="00011DC7" w:rsidRPr="00011DC7">
        <w:t xml:space="preserve"> Local EV Infrastructure pilot scheme</w:t>
      </w:r>
      <w:r w:rsidR="00517E10">
        <w:t xml:space="preserve"> to </w:t>
      </w:r>
      <w:r w:rsidR="00856114">
        <w:t xml:space="preserve">expand </w:t>
      </w:r>
      <w:r w:rsidR="00517E10">
        <w:t>EV charging capacity.</w:t>
      </w:r>
      <w:r w:rsidR="00696F15">
        <w:t xml:space="preserve">  A new </w:t>
      </w:r>
      <w:r w:rsidR="00696F15" w:rsidRPr="00696F15">
        <w:t xml:space="preserve">guideline for developers </w:t>
      </w:r>
      <w:r w:rsidR="00696F15">
        <w:t xml:space="preserve">has been issued </w:t>
      </w:r>
      <w:r w:rsidR="00EF2250">
        <w:t xml:space="preserve">to </w:t>
      </w:r>
      <w:r w:rsidR="00696F15">
        <w:t xml:space="preserve">achieve </w:t>
      </w:r>
      <w:r w:rsidR="00696F15" w:rsidRPr="00696F15">
        <w:t xml:space="preserve">sustainable low-carbon neighbourhoods </w:t>
      </w:r>
      <w:r w:rsidR="00696F15">
        <w:t xml:space="preserve">and the infrastructure necessary -  see the </w:t>
      </w:r>
      <w:hyperlink r:id="rId10" w:tgtFrame="_blank" w:tooltip="Link downloads the Suffolk Design Street Guide" w:history="1">
        <w:r w:rsidR="00696F15" w:rsidRPr="00696F15">
          <w:rPr>
            <w:rStyle w:val="Hyperlink"/>
          </w:rPr>
          <w:t>Suffolk Design: Streets Guide</w:t>
        </w:r>
      </w:hyperlink>
      <w:r w:rsidR="00696F15">
        <w:t xml:space="preserve">.  </w:t>
      </w:r>
    </w:p>
    <w:p w14:paraId="212062A2" w14:textId="6BB76AC9" w:rsidR="00011DC7" w:rsidRDefault="00311C7A" w:rsidP="00011DC7">
      <w:pPr>
        <w:numPr>
          <w:ilvl w:val="0"/>
          <w:numId w:val="6"/>
        </w:numPr>
        <w:spacing w:after="120"/>
      </w:pPr>
      <w:r w:rsidRPr="00FD5080">
        <w:rPr>
          <w:b/>
          <w:bCs/>
        </w:rPr>
        <w:t>Tree Planting</w:t>
      </w:r>
      <w:r>
        <w:t xml:space="preserve"> – Working with the Woodland Trust, the Council has planted almost 50K trees this winter, </w:t>
      </w:r>
      <w:r w:rsidR="003D4095">
        <w:t xml:space="preserve">additional to </w:t>
      </w:r>
      <w:r>
        <w:t xml:space="preserve">over 200K planted over the past two years.  </w:t>
      </w:r>
      <w:r w:rsidR="00FD5080">
        <w:t>A contractor, Giles Landscapes is assisting the Council with monitoring its planting programme and improving survival of certain spp such as oak and hornbeam.  The Council’s County Farms Estate has hosted a number of the new tree planting schemes</w:t>
      </w:r>
      <w:r w:rsidR="003D4095">
        <w:t xml:space="preserve">, but </w:t>
      </w:r>
      <w:r w:rsidR="00856114">
        <w:t xml:space="preserve">more </w:t>
      </w:r>
      <w:r w:rsidR="003D4095">
        <w:t>land is needed</w:t>
      </w:r>
      <w:r w:rsidR="00FD5080">
        <w:t>.</w:t>
      </w:r>
    </w:p>
    <w:p w14:paraId="208F8F85" w14:textId="3B04E1B4" w:rsidR="00DF56F9" w:rsidRDefault="00FD5080" w:rsidP="00724F20">
      <w:pPr>
        <w:numPr>
          <w:ilvl w:val="0"/>
          <w:numId w:val="6"/>
        </w:numPr>
        <w:spacing w:after="120"/>
      </w:pPr>
      <w:r w:rsidRPr="00FE1BBB">
        <w:rPr>
          <w:b/>
          <w:bCs/>
        </w:rPr>
        <w:t xml:space="preserve">Breck’s Fen Edge &amp; Rivers Project </w:t>
      </w:r>
      <w:r>
        <w:t xml:space="preserve">– This is a Heritage Lottery funded project initiated in 2017 by Norfolk &amp; Suffolk County Council and other partners </w:t>
      </w:r>
      <w:hyperlink r:id="rId11" w:history="1">
        <w:r w:rsidRPr="0000441D">
          <w:rPr>
            <w:rStyle w:val="Hyperlink"/>
          </w:rPr>
          <w:t>https://brecks.org/BFER/</w:t>
        </w:r>
      </w:hyperlink>
      <w:r>
        <w:t xml:space="preserve"> </w:t>
      </w:r>
      <w:r w:rsidR="00011DC7" w:rsidRPr="00011DC7">
        <w:t>.</w:t>
      </w:r>
      <w:r w:rsidR="00FE1BBB" w:rsidRPr="00FE1BBB">
        <w:t xml:space="preserve"> </w:t>
      </w:r>
      <w:r w:rsidR="00FE1BBB">
        <w:t>A</w:t>
      </w:r>
      <w:r w:rsidR="00FE1BBB" w:rsidRPr="00FE1BBB">
        <w:t xml:space="preserve"> review was conducted in winter 2022</w:t>
      </w:r>
      <w:r w:rsidR="00E837CD">
        <w:t xml:space="preserve"> by Glevum Consulting, and indications are very positive.  A large number of people have been involved including schools, land owners, and volunteers to improve riparian conditions, water quality, and public awareness. </w:t>
      </w:r>
    </w:p>
    <w:p w14:paraId="5E91269D" w14:textId="3CBC23DE" w:rsidR="00EF2250" w:rsidRPr="00EF2250" w:rsidRDefault="00DF56F9" w:rsidP="00C91ACF">
      <w:pPr>
        <w:numPr>
          <w:ilvl w:val="0"/>
          <w:numId w:val="7"/>
        </w:numPr>
      </w:pPr>
      <w:r w:rsidRPr="00EF2250">
        <w:rPr>
          <w:b/>
          <w:bCs/>
        </w:rPr>
        <w:t xml:space="preserve">Highways </w:t>
      </w:r>
      <w:r w:rsidR="003D4095">
        <w:rPr>
          <w:b/>
          <w:bCs/>
        </w:rPr>
        <w:t xml:space="preserve">Contract </w:t>
      </w:r>
      <w:r w:rsidR="00696F15" w:rsidRPr="00EF2250">
        <w:t xml:space="preserve">- </w:t>
      </w:r>
      <w:r w:rsidR="00EF2250" w:rsidRPr="00EF2250">
        <w:t>Milestone Infrastructure, part of M Group Services, has been awarded Suffolk’s new highways services contract, which will begin on 1 October 2023.</w:t>
      </w:r>
      <w:r w:rsidR="00EF2250">
        <w:t xml:space="preserve"> </w:t>
      </w:r>
      <w:r w:rsidR="00EF2250" w:rsidRPr="00EF2250">
        <w:t xml:space="preserve">Milestone will be </w:t>
      </w:r>
      <w:r w:rsidR="00EF2250">
        <w:t xml:space="preserve">the Council’s </w:t>
      </w:r>
      <w:r w:rsidR="00EF2250" w:rsidRPr="00EF2250">
        <w:t>new contract partner for up to 20 years</w:t>
      </w:r>
      <w:r w:rsidR="00EF2250">
        <w:t xml:space="preserve"> under a contract to provide </w:t>
      </w:r>
      <w:r w:rsidR="00EF2250" w:rsidRPr="00EF2250">
        <w:t>projects including but not limited to maintaining roads, pavements and rights of way, drainage, hedge trimming, construction of new road schemes, snow-clearing and gritting.</w:t>
      </w:r>
    </w:p>
    <w:p w14:paraId="50FB2E08" w14:textId="5933800B" w:rsidR="00696F15" w:rsidRDefault="00EF2250" w:rsidP="00DF56F9">
      <w:pPr>
        <w:numPr>
          <w:ilvl w:val="0"/>
          <w:numId w:val="7"/>
        </w:numPr>
      </w:pPr>
      <w:r w:rsidRPr="00EF2250">
        <w:rPr>
          <w:b/>
          <w:bCs/>
        </w:rPr>
        <w:t>Nationally Significant Infrastructure Project</w:t>
      </w:r>
      <w:r>
        <w:rPr>
          <w:b/>
          <w:bCs/>
        </w:rPr>
        <w:t>s</w:t>
      </w:r>
      <w:r>
        <w:t xml:space="preserve"> -  </w:t>
      </w:r>
      <w:r w:rsidR="00A04664">
        <w:t xml:space="preserve">In addition to Sizewell C, the Council’s planning team has needed </w:t>
      </w:r>
      <w:r w:rsidR="00817679">
        <w:t>t</w:t>
      </w:r>
      <w:r w:rsidR="00A04664">
        <w:t xml:space="preserve">o </w:t>
      </w:r>
      <w:r w:rsidR="00817679">
        <w:t xml:space="preserve">comment on </w:t>
      </w:r>
      <w:r w:rsidR="00A04664">
        <w:t xml:space="preserve">multiple large new projects </w:t>
      </w:r>
      <w:r w:rsidR="00817679">
        <w:t>such as</w:t>
      </w:r>
      <w:r w:rsidR="00A04664">
        <w:t xml:space="preserve"> Sunnica’s </w:t>
      </w:r>
      <w:r w:rsidR="00817679">
        <w:t xml:space="preserve">approx. </w:t>
      </w:r>
      <w:r w:rsidR="00A04664">
        <w:t>2,00</w:t>
      </w:r>
      <w:r w:rsidR="00817679">
        <w:t>0</w:t>
      </w:r>
      <w:r w:rsidR="00A04664">
        <w:t xml:space="preserve">-acre proposed solar farm on the Cambridge border, </w:t>
      </w:r>
      <w:r w:rsidR="00817679">
        <w:t xml:space="preserve">two proposed sub-sea interconnectors in East Suffolk, additional 30km grid reinforcement on the Bramford to Twinstead 400 kV line between Ipswich and Sudbury, and National Grid’s proposed 50-m high East Anglia Green pylon line between Norwich and Tilbury. </w:t>
      </w:r>
      <w:r w:rsidR="00395279">
        <w:t xml:space="preserve"> We are actively engaging with the proponents of these schemes and working cooperatively with our colleagues in neighbouring counties.  </w:t>
      </w:r>
      <w:r w:rsidR="00817679">
        <w:t xml:space="preserve">The Council has secured £54K from the government to run a Centre of Excellence to support </w:t>
      </w:r>
      <w:r w:rsidR="00D41E34">
        <w:t xml:space="preserve">area </w:t>
      </w:r>
      <w:r w:rsidR="00817679">
        <w:t>local authorities</w:t>
      </w:r>
      <w:r w:rsidR="00D41E34">
        <w:t xml:space="preserve"> in</w:t>
      </w:r>
      <w:r w:rsidR="00817679">
        <w:t xml:space="preserve"> responding to NSIPs, and to help represent the public interest.</w:t>
      </w:r>
    </w:p>
    <w:sectPr w:rsidR="00696F15" w:rsidSect="007533C9">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63B7" w14:textId="77777777" w:rsidR="00E702D2" w:rsidRDefault="00E702D2" w:rsidP="00ED663E">
      <w:pPr>
        <w:spacing w:after="0" w:line="240" w:lineRule="auto"/>
      </w:pPr>
      <w:r>
        <w:separator/>
      </w:r>
    </w:p>
  </w:endnote>
  <w:endnote w:type="continuationSeparator" w:id="0">
    <w:p w14:paraId="33A1FBD0" w14:textId="77777777" w:rsidR="00E702D2" w:rsidRDefault="00E702D2" w:rsidP="00ED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18630"/>
      <w:docPartObj>
        <w:docPartGallery w:val="Page Numbers (Bottom of Page)"/>
        <w:docPartUnique/>
      </w:docPartObj>
    </w:sdtPr>
    <w:sdtEndPr>
      <w:rPr>
        <w:noProof/>
      </w:rPr>
    </w:sdtEndPr>
    <w:sdtContent>
      <w:p w14:paraId="24C53EA1" w14:textId="2F48C1BD" w:rsidR="00DD07EA" w:rsidRDefault="00DD07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F383E8" w14:textId="77777777" w:rsidR="001C0200" w:rsidRDefault="001C0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9430" w14:textId="77777777" w:rsidR="00E702D2" w:rsidRDefault="00E702D2" w:rsidP="00ED663E">
      <w:pPr>
        <w:spacing w:after="0" w:line="240" w:lineRule="auto"/>
      </w:pPr>
      <w:r>
        <w:separator/>
      </w:r>
    </w:p>
  </w:footnote>
  <w:footnote w:type="continuationSeparator" w:id="0">
    <w:p w14:paraId="76426622" w14:textId="77777777" w:rsidR="00E702D2" w:rsidRDefault="00E702D2" w:rsidP="00ED6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3F5A" w14:textId="42B3551E" w:rsidR="00D05B4F" w:rsidRDefault="00DD07EA" w:rsidP="00DD07EA">
    <w:pPr>
      <w:pStyle w:val="Header"/>
      <w:tabs>
        <w:tab w:val="left" w:pos="1063"/>
      </w:tabs>
      <w:spacing w:after="120"/>
      <w:rPr>
        <w:b/>
        <w:bCs/>
        <w:color w:val="1F497D" w:themeColor="text2"/>
        <w:sz w:val="32"/>
        <w:szCs w:val="32"/>
      </w:rPr>
    </w:pPr>
    <w:r>
      <w:rPr>
        <w:b/>
        <w:bCs/>
        <w:color w:val="1F497D" w:themeColor="text2"/>
        <w:sz w:val="32"/>
        <w:szCs w:val="32"/>
      </w:rPr>
      <w:tab/>
    </w:r>
    <w:r>
      <w:rPr>
        <w:b/>
        <w:bCs/>
        <w:color w:val="1F497D" w:themeColor="text2"/>
        <w:sz w:val="32"/>
        <w:szCs w:val="32"/>
      </w:rPr>
      <w:tab/>
    </w:r>
  </w:p>
  <w:p w14:paraId="2AD69B42" w14:textId="6CDBF17C" w:rsidR="00717FDB" w:rsidRPr="00D05B4F" w:rsidRDefault="00717FDB" w:rsidP="00D05B4F">
    <w:pPr>
      <w:pStyle w:val="Header"/>
      <w:jc w:val="center"/>
      <w:rPr>
        <w:b/>
        <w:bCs/>
        <w:color w:val="1F497D" w:themeColor="text2"/>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89A4" w14:textId="1BCBBBBE" w:rsidR="00DD07EA" w:rsidRDefault="007533C9" w:rsidP="00272182">
    <w:pPr>
      <w:pStyle w:val="Header"/>
      <w:jc w:val="center"/>
    </w:pPr>
    <w:r w:rsidRPr="007533C9">
      <w:rPr>
        <w:rFonts w:ascii="Calibri" w:eastAsia="Times New Roman" w:hAnsi="Calibri" w:cs="Calibri"/>
        <w:noProof/>
        <w:sz w:val="24"/>
        <w:szCs w:val="24"/>
        <w:lang w:eastAsia="en-GB"/>
      </w:rPr>
      <w:drawing>
        <wp:anchor distT="0" distB="0" distL="114300" distR="114300" simplePos="0" relativeHeight="251659264" behindDoc="0" locked="0" layoutInCell="1" allowOverlap="1" wp14:anchorId="01EAE427" wp14:editId="50A65AC6">
          <wp:simplePos x="0" y="0"/>
          <wp:positionH relativeFrom="margin">
            <wp:posOffset>-253365</wp:posOffset>
          </wp:positionH>
          <wp:positionV relativeFrom="paragraph">
            <wp:posOffset>-209058</wp:posOffset>
          </wp:positionV>
          <wp:extent cx="4243234" cy="1511056"/>
          <wp:effectExtent l="19050" t="19050" r="24130" b="133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937" t="-1130" r="-937" b="87394"/>
                  <a:stretch/>
                </pic:blipFill>
                <pic:spPr bwMode="auto">
                  <a:xfrm>
                    <a:off x="0" y="0"/>
                    <a:ext cx="4243234" cy="1511056"/>
                  </a:xfrm>
                  <a:prstGeom prst="rect">
                    <a:avLst/>
                  </a:prstGeom>
                  <a:ln w="9525" cap="flat" cmpd="sng" algn="ctr">
                    <a:solidFill>
                      <a:sysClr val="window" lastClr="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00272182" w:rsidRPr="00272182">
      <w:rPr>
        <w:rFonts w:ascii="Times New Roman" w:eastAsia="Times New Roman" w:hAnsi="Times New Roman" w:cs="Times New Roman"/>
        <w:b/>
        <w:bCs/>
        <w:noProof/>
        <w:color w:val="44546A"/>
        <w:sz w:val="32"/>
        <w:szCs w:val="32"/>
        <w:lang w:eastAsia="en-GB"/>
      </w:rPr>
      <w:drawing>
        <wp:inline distT="0" distB="0" distL="0" distR="0" wp14:anchorId="2F7BFD09" wp14:editId="42A70E52">
          <wp:extent cx="2349500" cy="618438"/>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62" cy="639328"/>
                  </a:xfrm>
                  <a:prstGeom prst="rect">
                    <a:avLst/>
                  </a:prstGeom>
                  <a:noFill/>
                </pic:spPr>
              </pic:pic>
            </a:graphicData>
          </a:graphic>
        </wp:inline>
      </w:drawing>
    </w:r>
  </w:p>
  <w:p w14:paraId="4F152DC4" w14:textId="2408D1CD" w:rsidR="00CB1236" w:rsidRDefault="00CB1236" w:rsidP="00272182">
    <w:pPr>
      <w:pStyle w:val="Header"/>
      <w:jc w:val="center"/>
    </w:pPr>
  </w:p>
  <w:p w14:paraId="01657BA5" w14:textId="2F735537" w:rsidR="00CB1236" w:rsidRPr="007E539B" w:rsidRDefault="007533C9" w:rsidP="007E539B">
    <w:pPr>
      <w:pStyle w:val="Header"/>
      <w:jc w:val="center"/>
      <w:rPr>
        <w:color w:val="1F497D" w:themeColor="text2"/>
        <w:sz w:val="32"/>
        <w:szCs w:val="32"/>
      </w:rPr>
    </w:pPr>
    <w:r w:rsidRPr="007E539B">
      <w:rPr>
        <w:color w:val="1F497D" w:themeColor="text2"/>
        <w:sz w:val="32"/>
        <w:szCs w:val="32"/>
      </w:rPr>
      <w:tab/>
    </w:r>
    <w:r w:rsidRPr="007E539B">
      <w:rPr>
        <w:color w:val="1F497D" w:themeColor="text2"/>
        <w:sz w:val="32"/>
        <w:szCs w:val="32"/>
      </w:rPr>
      <w:tab/>
    </w:r>
    <w:r w:rsidR="00CB1236" w:rsidRPr="007E539B">
      <w:rPr>
        <w:color w:val="1F497D" w:themeColor="text2"/>
        <w:sz w:val="32"/>
        <w:szCs w:val="32"/>
      </w:rPr>
      <w:t>Annual Report for 20</w:t>
    </w:r>
    <w:r w:rsidR="002457D3" w:rsidRPr="007E539B">
      <w:rPr>
        <w:color w:val="1F497D" w:themeColor="text2"/>
        <w:sz w:val="32"/>
        <w:szCs w:val="32"/>
      </w:rPr>
      <w:t>22</w:t>
    </w:r>
    <w:r w:rsidR="00CB1236" w:rsidRPr="007E539B">
      <w:rPr>
        <w:color w:val="1F497D" w:themeColor="text2"/>
        <w:sz w:val="32"/>
        <w:szCs w:val="32"/>
      </w:rPr>
      <w:t>/2</w:t>
    </w:r>
    <w:r w:rsidR="002457D3" w:rsidRPr="007E539B">
      <w:rPr>
        <w:color w:val="1F497D" w:themeColor="text2"/>
        <w:sz w:val="32"/>
        <w:szCs w:val="32"/>
      </w:rPr>
      <w:t>3</w:t>
    </w:r>
  </w:p>
  <w:p w14:paraId="7698F5E5" w14:textId="651E4701" w:rsidR="007E539B" w:rsidRPr="007E539B" w:rsidRDefault="007E539B" w:rsidP="00272182">
    <w:pPr>
      <w:pStyle w:val="Header"/>
      <w:jc w:val="center"/>
      <w:rPr>
        <w:color w:val="1F497D" w:themeColor="text2"/>
        <w:sz w:val="32"/>
        <w:szCs w:val="32"/>
      </w:rPr>
    </w:pPr>
  </w:p>
  <w:p w14:paraId="5596D218" w14:textId="5F9265EC" w:rsidR="007E539B" w:rsidRPr="007E539B" w:rsidRDefault="007E539B" w:rsidP="00272182">
    <w:pPr>
      <w:pStyle w:val="Header"/>
      <w:jc w:val="center"/>
      <w:rPr>
        <w:color w:val="1F497D" w:themeColor="text2"/>
        <w:sz w:val="32"/>
        <w:szCs w:val="32"/>
      </w:rPr>
    </w:pPr>
    <w:r w:rsidRPr="007E539B">
      <w:rPr>
        <w:color w:val="1F497D" w:themeColor="text2"/>
        <w:sz w:val="32"/>
        <w:szCs w:val="32"/>
      </w:rPr>
      <w:tab/>
      <w:t xml:space="preserve">         </w:t>
    </w:r>
    <w:r>
      <w:rPr>
        <w:color w:val="1F497D" w:themeColor="text2"/>
        <w:sz w:val="32"/>
        <w:szCs w:val="32"/>
      </w:rPr>
      <w:t xml:space="preserve">             </w:t>
    </w:r>
    <w:r w:rsidR="00395279">
      <w:rPr>
        <w:color w:val="1F497D" w:themeColor="text2"/>
        <w:sz w:val="32"/>
        <w:szCs w:val="32"/>
      </w:rPr>
      <w:t>Hartismere Division</w:t>
    </w:r>
  </w:p>
  <w:p w14:paraId="34E0C4A4" w14:textId="2ACC3746" w:rsidR="00272182" w:rsidRDefault="00272182" w:rsidP="00272182">
    <w:pPr>
      <w:pStyle w:val="Header"/>
      <w:ind w:firstLine="720"/>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080D"/>
    <w:multiLevelType w:val="multilevel"/>
    <w:tmpl w:val="18666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838FF"/>
    <w:multiLevelType w:val="multilevel"/>
    <w:tmpl w:val="A23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61D48"/>
    <w:multiLevelType w:val="multilevel"/>
    <w:tmpl w:val="1DE2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D383C"/>
    <w:multiLevelType w:val="multilevel"/>
    <w:tmpl w:val="11A43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D6556"/>
    <w:multiLevelType w:val="multilevel"/>
    <w:tmpl w:val="DDE8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6D7B52"/>
    <w:multiLevelType w:val="multilevel"/>
    <w:tmpl w:val="AD1E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74C00"/>
    <w:multiLevelType w:val="multilevel"/>
    <w:tmpl w:val="C77A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4765791">
    <w:abstractNumId w:val="3"/>
  </w:num>
  <w:num w:numId="2" w16cid:durableId="1098718604">
    <w:abstractNumId w:val="1"/>
  </w:num>
  <w:num w:numId="3" w16cid:durableId="1854488255">
    <w:abstractNumId w:val="5"/>
  </w:num>
  <w:num w:numId="4" w16cid:durableId="562835376">
    <w:abstractNumId w:val="4"/>
  </w:num>
  <w:num w:numId="5" w16cid:durableId="1374234108">
    <w:abstractNumId w:val="8"/>
  </w:num>
  <w:num w:numId="6" w16cid:durableId="1789814809">
    <w:abstractNumId w:val="7"/>
  </w:num>
  <w:num w:numId="7" w16cid:durableId="1159149777">
    <w:abstractNumId w:val="0"/>
  </w:num>
  <w:num w:numId="8" w16cid:durableId="1409574781">
    <w:abstractNumId w:val="2"/>
  </w:num>
  <w:num w:numId="9" w16cid:durableId="4471608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CF"/>
    <w:rsid w:val="000116BA"/>
    <w:rsid w:val="00011DC7"/>
    <w:rsid w:val="000322BE"/>
    <w:rsid w:val="00032F76"/>
    <w:rsid w:val="00045133"/>
    <w:rsid w:val="00065F24"/>
    <w:rsid w:val="00076D40"/>
    <w:rsid w:val="0009337A"/>
    <w:rsid w:val="000A17AA"/>
    <w:rsid w:val="000B0339"/>
    <w:rsid w:val="000E19AD"/>
    <w:rsid w:val="000E1DB4"/>
    <w:rsid w:val="000E267F"/>
    <w:rsid w:val="00110E0B"/>
    <w:rsid w:val="001363B4"/>
    <w:rsid w:val="00144265"/>
    <w:rsid w:val="001468C6"/>
    <w:rsid w:val="00150019"/>
    <w:rsid w:val="001727E7"/>
    <w:rsid w:val="00172A8E"/>
    <w:rsid w:val="0018646A"/>
    <w:rsid w:val="001B1D67"/>
    <w:rsid w:val="001B720A"/>
    <w:rsid w:val="001C0200"/>
    <w:rsid w:val="001C55B1"/>
    <w:rsid w:val="001C563C"/>
    <w:rsid w:val="001D4834"/>
    <w:rsid w:val="001D5B44"/>
    <w:rsid w:val="001E1AEC"/>
    <w:rsid w:val="001E5122"/>
    <w:rsid w:val="001E5AC1"/>
    <w:rsid w:val="001E7D6B"/>
    <w:rsid w:val="001F021A"/>
    <w:rsid w:val="00203B4F"/>
    <w:rsid w:val="00211CD1"/>
    <w:rsid w:val="0021206C"/>
    <w:rsid w:val="00214B91"/>
    <w:rsid w:val="002165D3"/>
    <w:rsid w:val="00224A24"/>
    <w:rsid w:val="0022600E"/>
    <w:rsid w:val="00234A5A"/>
    <w:rsid w:val="002457D3"/>
    <w:rsid w:val="00261F29"/>
    <w:rsid w:val="00265F1C"/>
    <w:rsid w:val="00266C96"/>
    <w:rsid w:val="00272182"/>
    <w:rsid w:val="002741B4"/>
    <w:rsid w:val="002A139B"/>
    <w:rsid w:val="002A1F6F"/>
    <w:rsid w:val="002B6434"/>
    <w:rsid w:val="002B6887"/>
    <w:rsid w:val="002C3598"/>
    <w:rsid w:val="002C5E47"/>
    <w:rsid w:val="002C5EE2"/>
    <w:rsid w:val="002D0DBD"/>
    <w:rsid w:val="002E1BD3"/>
    <w:rsid w:val="003117C8"/>
    <w:rsid w:val="00311C7A"/>
    <w:rsid w:val="00331419"/>
    <w:rsid w:val="003562C4"/>
    <w:rsid w:val="003564BB"/>
    <w:rsid w:val="003611C4"/>
    <w:rsid w:val="00374C50"/>
    <w:rsid w:val="00395279"/>
    <w:rsid w:val="003A1179"/>
    <w:rsid w:val="003A203B"/>
    <w:rsid w:val="003B0436"/>
    <w:rsid w:val="003C51E3"/>
    <w:rsid w:val="003D0594"/>
    <w:rsid w:val="003D4095"/>
    <w:rsid w:val="003F171E"/>
    <w:rsid w:val="00400AE1"/>
    <w:rsid w:val="00402C47"/>
    <w:rsid w:val="00403A0E"/>
    <w:rsid w:val="00406601"/>
    <w:rsid w:val="00411CDF"/>
    <w:rsid w:val="004131A2"/>
    <w:rsid w:val="0043049D"/>
    <w:rsid w:val="00431EB7"/>
    <w:rsid w:val="00450097"/>
    <w:rsid w:val="0047313A"/>
    <w:rsid w:val="00486086"/>
    <w:rsid w:val="00495DBE"/>
    <w:rsid w:val="004A09C2"/>
    <w:rsid w:val="004A7EFA"/>
    <w:rsid w:val="004C7FD9"/>
    <w:rsid w:val="004E2918"/>
    <w:rsid w:val="004E66A5"/>
    <w:rsid w:val="004F3E81"/>
    <w:rsid w:val="00501B62"/>
    <w:rsid w:val="00505845"/>
    <w:rsid w:val="005071E1"/>
    <w:rsid w:val="005144E1"/>
    <w:rsid w:val="00517E10"/>
    <w:rsid w:val="0052119D"/>
    <w:rsid w:val="00550C6F"/>
    <w:rsid w:val="0055602F"/>
    <w:rsid w:val="005604BA"/>
    <w:rsid w:val="00571BF1"/>
    <w:rsid w:val="005727CB"/>
    <w:rsid w:val="0057412C"/>
    <w:rsid w:val="00582B15"/>
    <w:rsid w:val="005942FE"/>
    <w:rsid w:val="00595384"/>
    <w:rsid w:val="005956F8"/>
    <w:rsid w:val="00595B61"/>
    <w:rsid w:val="005B2C9E"/>
    <w:rsid w:val="005B35F0"/>
    <w:rsid w:val="005B6038"/>
    <w:rsid w:val="005C3BC3"/>
    <w:rsid w:val="005E2D0C"/>
    <w:rsid w:val="005F05FF"/>
    <w:rsid w:val="005F16AC"/>
    <w:rsid w:val="00604732"/>
    <w:rsid w:val="00624AD2"/>
    <w:rsid w:val="00625E66"/>
    <w:rsid w:val="00634803"/>
    <w:rsid w:val="006464AA"/>
    <w:rsid w:val="00654D3E"/>
    <w:rsid w:val="00656585"/>
    <w:rsid w:val="00661281"/>
    <w:rsid w:val="00663F15"/>
    <w:rsid w:val="0066723B"/>
    <w:rsid w:val="00686C77"/>
    <w:rsid w:val="00687A0D"/>
    <w:rsid w:val="00696F15"/>
    <w:rsid w:val="006A5241"/>
    <w:rsid w:val="006A58B6"/>
    <w:rsid w:val="006B2B5C"/>
    <w:rsid w:val="006B393F"/>
    <w:rsid w:val="006B5670"/>
    <w:rsid w:val="006B7875"/>
    <w:rsid w:val="006D1051"/>
    <w:rsid w:val="006D25E5"/>
    <w:rsid w:val="006E2036"/>
    <w:rsid w:val="006F7255"/>
    <w:rsid w:val="00706EB6"/>
    <w:rsid w:val="007079B7"/>
    <w:rsid w:val="0071556D"/>
    <w:rsid w:val="00715C56"/>
    <w:rsid w:val="00717F74"/>
    <w:rsid w:val="00717FDB"/>
    <w:rsid w:val="0073794C"/>
    <w:rsid w:val="007447A5"/>
    <w:rsid w:val="007471AC"/>
    <w:rsid w:val="00747433"/>
    <w:rsid w:val="007533A2"/>
    <w:rsid w:val="007533C9"/>
    <w:rsid w:val="00755A5F"/>
    <w:rsid w:val="00757639"/>
    <w:rsid w:val="00760536"/>
    <w:rsid w:val="00761B91"/>
    <w:rsid w:val="00782C22"/>
    <w:rsid w:val="007A59BA"/>
    <w:rsid w:val="007A7567"/>
    <w:rsid w:val="007B2556"/>
    <w:rsid w:val="007B5F12"/>
    <w:rsid w:val="007C3EA9"/>
    <w:rsid w:val="007D66A8"/>
    <w:rsid w:val="007E539B"/>
    <w:rsid w:val="00803338"/>
    <w:rsid w:val="008034C7"/>
    <w:rsid w:val="008039A8"/>
    <w:rsid w:val="0081267F"/>
    <w:rsid w:val="00817679"/>
    <w:rsid w:val="00824519"/>
    <w:rsid w:val="008358EC"/>
    <w:rsid w:val="00837D77"/>
    <w:rsid w:val="008459DA"/>
    <w:rsid w:val="008462FB"/>
    <w:rsid w:val="00856114"/>
    <w:rsid w:val="0086410B"/>
    <w:rsid w:val="00872B22"/>
    <w:rsid w:val="008810C5"/>
    <w:rsid w:val="0089184C"/>
    <w:rsid w:val="008A0C38"/>
    <w:rsid w:val="008A4615"/>
    <w:rsid w:val="008B5FF1"/>
    <w:rsid w:val="008C554A"/>
    <w:rsid w:val="008D1BC7"/>
    <w:rsid w:val="008D55B1"/>
    <w:rsid w:val="008E2098"/>
    <w:rsid w:val="008E3007"/>
    <w:rsid w:val="008E5DEC"/>
    <w:rsid w:val="008F1437"/>
    <w:rsid w:val="00910272"/>
    <w:rsid w:val="009236A1"/>
    <w:rsid w:val="00924225"/>
    <w:rsid w:val="00932214"/>
    <w:rsid w:val="009451C7"/>
    <w:rsid w:val="00956847"/>
    <w:rsid w:val="009609FA"/>
    <w:rsid w:val="00960F65"/>
    <w:rsid w:val="0097178A"/>
    <w:rsid w:val="00983089"/>
    <w:rsid w:val="009A78AD"/>
    <w:rsid w:val="009B0CFA"/>
    <w:rsid w:val="009B29B3"/>
    <w:rsid w:val="009D6131"/>
    <w:rsid w:val="009E359F"/>
    <w:rsid w:val="009F2367"/>
    <w:rsid w:val="009F5B97"/>
    <w:rsid w:val="00A04664"/>
    <w:rsid w:val="00A04CA1"/>
    <w:rsid w:val="00A1526A"/>
    <w:rsid w:val="00A27E18"/>
    <w:rsid w:val="00A342FC"/>
    <w:rsid w:val="00A54454"/>
    <w:rsid w:val="00A606EF"/>
    <w:rsid w:val="00A6607C"/>
    <w:rsid w:val="00A76C07"/>
    <w:rsid w:val="00A773C5"/>
    <w:rsid w:val="00A82DCF"/>
    <w:rsid w:val="00AB4E1E"/>
    <w:rsid w:val="00AC1335"/>
    <w:rsid w:val="00AC2244"/>
    <w:rsid w:val="00AD11FC"/>
    <w:rsid w:val="00AD370B"/>
    <w:rsid w:val="00AF7D70"/>
    <w:rsid w:val="00B07823"/>
    <w:rsid w:val="00B11C30"/>
    <w:rsid w:val="00B206A5"/>
    <w:rsid w:val="00B2288D"/>
    <w:rsid w:val="00B2756A"/>
    <w:rsid w:val="00B315E7"/>
    <w:rsid w:val="00B32C20"/>
    <w:rsid w:val="00B41F4D"/>
    <w:rsid w:val="00B60A25"/>
    <w:rsid w:val="00B6127F"/>
    <w:rsid w:val="00B63DA2"/>
    <w:rsid w:val="00B85E2C"/>
    <w:rsid w:val="00B865EE"/>
    <w:rsid w:val="00B976F7"/>
    <w:rsid w:val="00BA4867"/>
    <w:rsid w:val="00BA7414"/>
    <w:rsid w:val="00BD1439"/>
    <w:rsid w:val="00BD2AD4"/>
    <w:rsid w:val="00BD6FA5"/>
    <w:rsid w:val="00C16EE4"/>
    <w:rsid w:val="00C21FDD"/>
    <w:rsid w:val="00C37455"/>
    <w:rsid w:val="00C40425"/>
    <w:rsid w:val="00C6013D"/>
    <w:rsid w:val="00C626F2"/>
    <w:rsid w:val="00C73B67"/>
    <w:rsid w:val="00C748E9"/>
    <w:rsid w:val="00C85849"/>
    <w:rsid w:val="00CB1236"/>
    <w:rsid w:val="00CD17BD"/>
    <w:rsid w:val="00CE174C"/>
    <w:rsid w:val="00CE6F53"/>
    <w:rsid w:val="00CE789C"/>
    <w:rsid w:val="00CF3037"/>
    <w:rsid w:val="00D02215"/>
    <w:rsid w:val="00D04E3F"/>
    <w:rsid w:val="00D05B4F"/>
    <w:rsid w:val="00D05D75"/>
    <w:rsid w:val="00D14153"/>
    <w:rsid w:val="00D22BF6"/>
    <w:rsid w:val="00D30465"/>
    <w:rsid w:val="00D41E34"/>
    <w:rsid w:val="00D46C17"/>
    <w:rsid w:val="00D476E7"/>
    <w:rsid w:val="00D5543E"/>
    <w:rsid w:val="00D60629"/>
    <w:rsid w:val="00D8524C"/>
    <w:rsid w:val="00D95386"/>
    <w:rsid w:val="00DC0812"/>
    <w:rsid w:val="00DC2A0A"/>
    <w:rsid w:val="00DD07EA"/>
    <w:rsid w:val="00DD1520"/>
    <w:rsid w:val="00DD1E4D"/>
    <w:rsid w:val="00DD5534"/>
    <w:rsid w:val="00DF56F9"/>
    <w:rsid w:val="00E038B0"/>
    <w:rsid w:val="00E04C3E"/>
    <w:rsid w:val="00E062A3"/>
    <w:rsid w:val="00E32D69"/>
    <w:rsid w:val="00E349E9"/>
    <w:rsid w:val="00E43A51"/>
    <w:rsid w:val="00E56632"/>
    <w:rsid w:val="00E6561A"/>
    <w:rsid w:val="00E702D2"/>
    <w:rsid w:val="00E71FB1"/>
    <w:rsid w:val="00E837CD"/>
    <w:rsid w:val="00E9179A"/>
    <w:rsid w:val="00EA048C"/>
    <w:rsid w:val="00EA20B5"/>
    <w:rsid w:val="00EB24D6"/>
    <w:rsid w:val="00EB34C7"/>
    <w:rsid w:val="00EC2147"/>
    <w:rsid w:val="00ED3E7C"/>
    <w:rsid w:val="00ED663E"/>
    <w:rsid w:val="00EF2250"/>
    <w:rsid w:val="00EF339A"/>
    <w:rsid w:val="00EF3FB4"/>
    <w:rsid w:val="00EF4F25"/>
    <w:rsid w:val="00F01234"/>
    <w:rsid w:val="00F05C63"/>
    <w:rsid w:val="00F106DE"/>
    <w:rsid w:val="00F147EF"/>
    <w:rsid w:val="00F1591A"/>
    <w:rsid w:val="00F23046"/>
    <w:rsid w:val="00F2477B"/>
    <w:rsid w:val="00F34693"/>
    <w:rsid w:val="00F464B8"/>
    <w:rsid w:val="00F52E81"/>
    <w:rsid w:val="00F572DF"/>
    <w:rsid w:val="00F775A2"/>
    <w:rsid w:val="00F77C9C"/>
    <w:rsid w:val="00F80E7F"/>
    <w:rsid w:val="00F94B51"/>
    <w:rsid w:val="00F96E91"/>
    <w:rsid w:val="00FA7A1F"/>
    <w:rsid w:val="00FB1536"/>
    <w:rsid w:val="00FB739A"/>
    <w:rsid w:val="00FD5080"/>
    <w:rsid w:val="00FE1BBB"/>
    <w:rsid w:val="00FE78D4"/>
    <w:rsid w:val="00FF2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A7680C"/>
  <w15:docId w15:val="{17B8A638-836F-43FB-9468-0B249BCF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DCF"/>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0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BA"/>
    <w:rPr>
      <w:rFonts w:ascii="Tahoma" w:hAnsi="Tahoma" w:cs="Tahoma"/>
      <w:sz w:val="16"/>
      <w:szCs w:val="16"/>
    </w:rPr>
  </w:style>
  <w:style w:type="character" w:styleId="Hyperlink">
    <w:name w:val="Hyperlink"/>
    <w:basedOn w:val="DefaultParagraphFont"/>
    <w:uiPriority w:val="99"/>
    <w:unhideWhenUsed/>
    <w:rsid w:val="0009337A"/>
    <w:rPr>
      <w:color w:val="0000FF" w:themeColor="hyperlink"/>
      <w:u w:val="single"/>
    </w:rPr>
  </w:style>
  <w:style w:type="paragraph" w:styleId="Header">
    <w:name w:val="header"/>
    <w:basedOn w:val="Normal"/>
    <w:link w:val="HeaderChar"/>
    <w:uiPriority w:val="99"/>
    <w:unhideWhenUsed/>
    <w:rsid w:val="00ED6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63E"/>
  </w:style>
  <w:style w:type="paragraph" w:styleId="Footer">
    <w:name w:val="footer"/>
    <w:basedOn w:val="Normal"/>
    <w:link w:val="FooterChar"/>
    <w:uiPriority w:val="99"/>
    <w:unhideWhenUsed/>
    <w:rsid w:val="00ED6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63E"/>
  </w:style>
  <w:style w:type="character" w:styleId="UnresolvedMention">
    <w:name w:val="Unresolved Mention"/>
    <w:basedOn w:val="DefaultParagraphFont"/>
    <w:uiPriority w:val="99"/>
    <w:semiHidden/>
    <w:unhideWhenUsed/>
    <w:rsid w:val="00971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4910">
      <w:bodyDiv w:val="1"/>
      <w:marLeft w:val="0"/>
      <w:marRight w:val="0"/>
      <w:marTop w:val="0"/>
      <w:marBottom w:val="0"/>
      <w:divBdr>
        <w:top w:val="none" w:sz="0" w:space="0" w:color="auto"/>
        <w:left w:val="none" w:sz="0" w:space="0" w:color="auto"/>
        <w:bottom w:val="none" w:sz="0" w:space="0" w:color="auto"/>
        <w:right w:val="none" w:sz="0" w:space="0" w:color="auto"/>
      </w:divBdr>
    </w:div>
    <w:div w:id="358966650">
      <w:bodyDiv w:val="1"/>
      <w:marLeft w:val="0"/>
      <w:marRight w:val="0"/>
      <w:marTop w:val="0"/>
      <w:marBottom w:val="0"/>
      <w:divBdr>
        <w:top w:val="none" w:sz="0" w:space="0" w:color="auto"/>
        <w:left w:val="none" w:sz="0" w:space="0" w:color="auto"/>
        <w:bottom w:val="none" w:sz="0" w:space="0" w:color="auto"/>
        <w:right w:val="none" w:sz="0" w:space="0" w:color="auto"/>
      </w:divBdr>
    </w:div>
    <w:div w:id="380979282">
      <w:bodyDiv w:val="1"/>
      <w:marLeft w:val="0"/>
      <w:marRight w:val="0"/>
      <w:marTop w:val="0"/>
      <w:marBottom w:val="0"/>
      <w:divBdr>
        <w:top w:val="none" w:sz="0" w:space="0" w:color="auto"/>
        <w:left w:val="none" w:sz="0" w:space="0" w:color="auto"/>
        <w:bottom w:val="none" w:sz="0" w:space="0" w:color="auto"/>
        <w:right w:val="none" w:sz="0" w:space="0" w:color="auto"/>
      </w:divBdr>
    </w:div>
    <w:div w:id="401831797">
      <w:bodyDiv w:val="1"/>
      <w:marLeft w:val="0"/>
      <w:marRight w:val="0"/>
      <w:marTop w:val="0"/>
      <w:marBottom w:val="0"/>
      <w:divBdr>
        <w:top w:val="none" w:sz="0" w:space="0" w:color="auto"/>
        <w:left w:val="none" w:sz="0" w:space="0" w:color="auto"/>
        <w:bottom w:val="none" w:sz="0" w:space="0" w:color="auto"/>
        <w:right w:val="none" w:sz="0" w:space="0" w:color="auto"/>
      </w:divBdr>
    </w:div>
    <w:div w:id="466245607">
      <w:bodyDiv w:val="1"/>
      <w:marLeft w:val="0"/>
      <w:marRight w:val="0"/>
      <w:marTop w:val="0"/>
      <w:marBottom w:val="0"/>
      <w:divBdr>
        <w:top w:val="none" w:sz="0" w:space="0" w:color="auto"/>
        <w:left w:val="none" w:sz="0" w:space="0" w:color="auto"/>
        <w:bottom w:val="none" w:sz="0" w:space="0" w:color="auto"/>
        <w:right w:val="none" w:sz="0" w:space="0" w:color="auto"/>
      </w:divBdr>
    </w:div>
    <w:div w:id="540826740">
      <w:bodyDiv w:val="1"/>
      <w:marLeft w:val="0"/>
      <w:marRight w:val="0"/>
      <w:marTop w:val="0"/>
      <w:marBottom w:val="0"/>
      <w:divBdr>
        <w:top w:val="none" w:sz="0" w:space="0" w:color="auto"/>
        <w:left w:val="none" w:sz="0" w:space="0" w:color="auto"/>
        <w:bottom w:val="none" w:sz="0" w:space="0" w:color="auto"/>
        <w:right w:val="none" w:sz="0" w:space="0" w:color="auto"/>
      </w:divBdr>
    </w:div>
    <w:div w:id="715852706">
      <w:bodyDiv w:val="1"/>
      <w:marLeft w:val="0"/>
      <w:marRight w:val="0"/>
      <w:marTop w:val="0"/>
      <w:marBottom w:val="0"/>
      <w:divBdr>
        <w:top w:val="none" w:sz="0" w:space="0" w:color="auto"/>
        <w:left w:val="none" w:sz="0" w:space="0" w:color="auto"/>
        <w:bottom w:val="none" w:sz="0" w:space="0" w:color="auto"/>
        <w:right w:val="none" w:sz="0" w:space="0" w:color="auto"/>
      </w:divBdr>
    </w:div>
    <w:div w:id="880090368">
      <w:bodyDiv w:val="1"/>
      <w:marLeft w:val="0"/>
      <w:marRight w:val="0"/>
      <w:marTop w:val="0"/>
      <w:marBottom w:val="0"/>
      <w:divBdr>
        <w:top w:val="none" w:sz="0" w:space="0" w:color="auto"/>
        <w:left w:val="none" w:sz="0" w:space="0" w:color="auto"/>
        <w:bottom w:val="none" w:sz="0" w:space="0" w:color="auto"/>
        <w:right w:val="none" w:sz="0" w:space="0" w:color="auto"/>
      </w:divBdr>
    </w:div>
    <w:div w:id="973296709">
      <w:bodyDiv w:val="1"/>
      <w:marLeft w:val="0"/>
      <w:marRight w:val="0"/>
      <w:marTop w:val="0"/>
      <w:marBottom w:val="0"/>
      <w:divBdr>
        <w:top w:val="none" w:sz="0" w:space="0" w:color="auto"/>
        <w:left w:val="none" w:sz="0" w:space="0" w:color="auto"/>
        <w:bottom w:val="none" w:sz="0" w:space="0" w:color="auto"/>
        <w:right w:val="none" w:sz="0" w:space="0" w:color="auto"/>
      </w:divBdr>
    </w:div>
    <w:div w:id="980233941">
      <w:bodyDiv w:val="1"/>
      <w:marLeft w:val="0"/>
      <w:marRight w:val="0"/>
      <w:marTop w:val="0"/>
      <w:marBottom w:val="0"/>
      <w:divBdr>
        <w:top w:val="none" w:sz="0" w:space="0" w:color="auto"/>
        <w:left w:val="none" w:sz="0" w:space="0" w:color="auto"/>
        <w:bottom w:val="none" w:sz="0" w:space="0" w:color="auto"/>
        <w:right w:val="none" w:sz="0" w:space="0" w:color="auto"/>
      </w:divBdr>
    </w:div>
    <w:div w:id="1144353545">
      <w:bodyDiv w:val="1"/>
      <w:marLeft w:val="0"/>
      <w:marRight w:val="0"/>
      <w:marTop w:val="0"/>
      <w:marBottom w:val="0"/>
      <w:divBdr>
        <w:top w:val="none" w:sz="0" w:space="0" w:color="auto"/>
        <w:left w:val="none" w:sz="0" w:space="0" w:color="auto"/>
        <w:bottom w:val="none" w:sz="0" w:space="0" w:color="auto"/>
        <w:right w:val="none" w:sz="0" w:space="0" w:color="auto"/>
      </w:divBdr>
    </w:div>
    <w:div w:id="1176458955">
      <w:bodyDiv w:val="1"/>
      <w:marLeft w:val="0"/>
      <w:marRight w:val="0"/>
      <w:marTop w:val="0"/>
      <w:marBottom w:val="0"/>
      <w:divBdr>
        <w:top w:val="none" w:sz="0" w:space="0" w:color="auto"/>
        <w:left w:val="none" w:sz="0" w:space="0" w:color="auto"/>
        <w:bottom w:val="none" w:sz="0" w:space="0" w:color="auto"/>
        <w:right w:val="none" w:sz="0" w:space="0" w:color="auto"/>
      </w:divBdr>
    </w:div>
    <w:div w:id="1224414578">
      <w:bodyDiv w:val="1"/>
      <w:marLeft w:val="0"/>
      <w:marRight w:val="0"/>
      <w:marTop w:val="0"/>
      <w:marBottom w:val="0"/>
      <w:divBdr>
        <w:top w:val="none" w:sz="0" w:space="0" w:color="auto"/>
        <w:left w:val="none" w:sz="0" w:space="0" w:color="auto"/>
        <w:bottom w:val="none" w:sz="0" w:space="0" w:color="auto"/>
        <w:right w:val="none" w:sz="0" w:space="0" w:color="auto"/>
      </w:divBdr>
    </w:div>
    <w:div w:id="1301226542">
      <w:bodyDiv w:val="1"/>
      <w:marLeft w:val="0"/>
      <w:marRight w:val="0"/>
      <w:marTop w:val="0"/>
      <w:marBottom w:val="0"/>
      <w:divBdr>
        <w:top w:val="none" w:sz="0" w:space="0" w:color="auto"/>
        <w:left w:val="none" w:sz="0" w:space="0" w:color="auto"/>
        <w:bottom w:val="none" w:sz="0" w:space="0" w:color="auto"/>
        <w:right w:val="none" w:sz="0" w:space="0" w:color="auto"/>
      </w:divBdr>
    </w:div>
    <w:div w:id="1438672382">
      <w:bodyDiv w:val="1"/>
      <w:marLeft w:val="0"/>
      <w:marRight w:val="0"/>
      <w:marTop w:val="0"/>
      <w:marBottom w:val="0"/>
      <w:divBdr>
        <w:top w:val="none" w:sz="0" w:space="0" w:color="auto"/>
        <w:left w:val="none" w:sz="0" w:space="0" w:color="auto"/>
        <w:bottom w:val="none" w:sz="0" w:space="0" w:color="auto"/>
        <w:right w:val="none" w:sz="0" w:space="0" w:color="auto"/>
      </w:divBdr>
    </w:div>
    <w:div w:id="1568103189">
      <w:bodyDiv w:val="1"/>
      <w:marLeft w:val="0"/>
      <w:marRight w:val="0"/>
      <w:marTop w:val="0"/>
      <w:marBottom w:val="0"/>
      <w:divBdr>
        <w:top w:val="none" w:sz="0" w:space="0" w:color="auto"/>
        <w:left w:val="none" w:sz="0" w:space="0" w:color="auto"/>
        <w:bottom w:val="none" w:sz="0" w:space="0" w:color="auto"/>
        <w:right w:val="none" w:sz="0" w:space="0" w:color="auto"/>
      </w:divBdr>
    </w:div>
    <w:div w:id="1831484168">
      <w:bodyDiv w:val="1"/>
      <w:marLeft w:val="0"/>
      <w:marRight w:val="0"/>
      <w:marTop w:val="0"/>
      <w:marBottom w:val="0"/>
      <w:divBdr>
        <w:top w:val="none" w:sz="0" w:space="0" w:color="auto"/>
        <w:left w:val="none" w:sz="0" w:space="0" w:color="auto"/>
        <w:bottom w:val="none" w:sz="0" w:space="0" w:color="auto"/>
        <w:right w:val="none" w:sz="0" w:space="0" w:color="auto"/>
      </w:divBdr>
    </w:div>
    <w:div w:id="1847862271">
      <w:bodyDiv w:val="1"/>
      <w:marLeft w:val="0"/>
      <w:marRight w:val="0"/>
      <w:marTop w:val="0"/>
      <w:marBottom w:val="0"/>
      <w:divBdr>
        <w:top w:val="none" w:sz="0" w:space="0" w:color="auto"/>
        <w:left w:val="none" w:sz="0" w:space="0" w:color="auto"/>
        <w:bottom w:val="none" w:sz="0" w:space="0" w:color="auto"/>
        <w:right w:val="none" w:sz="0" w:space="0" w:color="auto"/>
      </w:divBdr>
    </w:div>
    <w:div w:id="1894386312">
      <w:bodyDiv w:val="1"/>
      <w:marLeft w:val="0"/>
      <w:marRight w:val="0"/>
      <w:marTop w:val="0"/>
      <w:marBottom w:val="0"/>
      <w:divBdr>
        <w:top w:val="none" w:sz="0" w:space="0" w:color="auto"/>
        <w:left w:val="none" w:sz="0" w:space="0" w:color="auto"/>
        <w:bottom w:val="none" w:sz="0" w:space="0" w:color="auto"/>
        <w:right w:val="none" w:sz="0" w:space="0" w:color="auto"/>
      </w:divBdr>
    </w:div>
    <w:div w:id="1968853367">
      <w:bodyDiv w:val="1"/>
      <w:marLeft w:val="0"/>
      <w:marRight w:val="0"/>
      <w:marTop w:val="0"/>
      <w:marBottom w:val="0"/>
      <w:divBdr>
        <w:top w:val="none" w:sz="0" w:space="0" w:color="auto"/>
        <w:left w:val="none" w:sz="0" w:space="0" w:color="auto"/>
        <w:bottom w:val="none" w:sz="0" w:space="0" w:color="auto"/>
        <w:right w:val="none" w:sz="0" w:space="0" w:color="auto"/>
      </w:divBdr>
    </w:div>
    <w:div w:id="198033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fleming@suffolk.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ecks.org/BF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ffolk.gov.uk/asset-library/imported/5647-21-Suffolk-Design-Street-Guide-v26.pdf" TargetMode="External"/><Relationship Id="rId4" Type="http://schemas.openxmlformats.org/officeDocument/2006/relationships/settings" Target="settings.xml"/><Relationship Id="rId9" Type="http://schemas.openxmlformats.org/officeDocument/2006/relationships/hyperlink" Target="http://www.suffolk.gov.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0892-AAF3-4FC0-90C7-11D206A0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Fleming</dc:creator>
  <cp:lastModifiedBy>Jessica Fleming (SCC Councillor)</cp:lastModifiedBy>
  <cp:revision>6</cp:revision>
  <cp:lastPrinted>2019-04-23T14:36:00Z</cp:lastPrinted>
  <dcterms:created xsi:type="dcterms:W3CDTF">2023-03-26T20:05:00Z</dcterms:created>
  <dcterms:modified xsi:type="dcterms:W3CDTF">2023-04-21T16:59:00Z</dcterms:modified>
</cp:coreProperties>
</file>